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93" w:rsidRPr="00D80E93" w:rsidRDefault="009913C8" w:rsidP="00D80E93">
      <w:pPr>
        <w:shd w:val="clear" w:color="auto" w:fill="FFFFFF"/>
        <w:spacing w:after="150" w:line="240" w:lineRule="auto"/>
        <w:jc w:val="center"/>
        <w:outlineLvl w:val="0"/>
        <w:rPr>
          <w:rFonts w:ascii="Arial" w:eastAsia="Times New Roman" w:hAnsi="Arial" w:cs="Arial"/>
          <w:b/>
          <w:bCs/>
          <w:color w:val="191919"/>
          <w:kern w:val="36"/>
          <w:sz w:val="52"/>
          <w:szCs w:val="58"/>
          <w:lang w:eastAsia="en-MY"/>
        </w:rPr>
      </w:pPr>
      <w:r w:rsidRPr="001337D6">
        <w:rPr>
          <w:rFonts w:ascii="Arial" w:eastAsia="Times New Roman" w:hAnsi="Arial" w:cs="Arial"/>
          <w:b/>
          <w:bCs/>
          <w:color w:val="191919"/>
          <w:kern w:val="36"/>
          <w:sz w:val="52"/>
          <w:szCs w:val="58"/>
          <w:lang w:eastAsia="en-MY"/>
        </w:rPr>
        <w:t>INTEGRITY POLICY</w:t>
      </w:r>
    </w:p>
    <w:p w:rsidR="00D80E93" w:rsidRPr="00D80E93" w:rsidRDefault="00D80E93" w:rsidP="009913C8">
      <w:pPr>
        <w:shd w:val="clear" w:color="auto" w:fill="FFFFFF"/>
        <w:spacing w:after="150" w:line="240" w:lineRule="auto"/>
        <w:jc w:val="both"/>
        <w:rPr>
          <w:rFonts w:ascii="Arial" w:eastAsia="Times New Roman" w:hAnsi="Arial" w:cs="Arial"/>
          <w:color w:val="191919"/>
          <w:sz w:val="23"/>
          <w:szCs w:val="23"/>
          <w:lang w:eastAsia="en-MY"/>
        </w:rPr>
      </w:pPr>
      <w:r>
        <w:rPr>
          <w:rFonts w:ascii="Arial" w:eastAsia="Times New Roman" w:hAnsi="Arial" w:cs="Arial"/>
          <w:color w:val="191919"/>
          <w:sz w:val="23"/>
          <w:szCs w:val="23"/>
          <w:lang w:eastAsia="en-MY"/>
        </w:rPr>
        <w:t>TNB Integrated Learning</w:t>
      </w:r>
      <w:r w:rsidR="009913C8">
        <w:rPr>
          <w:rFonts w:ascii="Arial" w:eastAsia="Times New Roman" w:hAnsi="Arial" w:cs="Arial"/>
          <w:color w:val="191919"/>
          <w:sz w:val="23"/>
          <w:szCs w:val="23"/>
          <w:lang w:eastAsia="en-MY"/>
        </w:rPr>
        <w:t xml:space="preserve"> Solution</w:t>
      </w:r>
      <w:r w:rsidR="001A7838">
        <w:rPr>
          <w:rFonts w:ascii="Arial" w:eastAsia="Times New Roman" w:hAnsi="Arial" w:cs="Arial"/>
          <w:color w:val="191919"/>
          <w:sz w:val="23"/>
          <w:szCs w:val="23"/>
          <w:lang w:eastAsia="en-MY"/>
        </w:rPr>
        <w:t xml:space="preserve">, </w:t>
      </w:r>
      <w:r>
        <w:rPr>
          <w:rFonts w:ascii="Arial" w:eastAsia="Times New Roman" w:hAnsi="Arial" w:cs="Arial"/>
          <w:color w:val="191919"/>
          <w:sz w:val="23"/>
          <w:szCs w:val="23"/>
          <w:lang w:eastAsia="en-MY"/>
        </w:rPr>
        <w:t>ILSAS</w:t>
      </w:r>
      <w:r w:rsidRPr="00D80E93">
        <w:rPr>
          <w:rFonts w:ascii="Arial" w:eastAsia="Times New Roman" w:hAnsi="Arial" w:cs="Arial"/>
          <w:color w:val="191919"/>
          <w:sz w:val="23"/>
          <w:szCs w:val="23"/>
          <w:lang w:eastAsia="en-MY"/>
        </w:rPr>
        <w:t xml:space="preserve"> does not tolerate bribery. Bribery means as an act of giving or receiving of any gratification corruptly with the intention of influencing the </w:t>
      </w:r>
      <w:proofErr w:type="spellStart"/>
      <w:r w:rsidRPr="00D80E93">
        <w:rPr>
          <w:rFonts w:ascii="Arial" w:eastAsia="Times New Roman" w:hAnsi="Arial" w:cs="Arial"/>
          <w:color w:val="191919"/>
          <w:sz w:val="23"/>
          <w:szCs w:val="23"/>
          <w:lang w:eastAsia="en-MY"/>
        </w:rPr>
        <w:t>behavior</w:t>
      </w:r>
      <w:proofErr w:type="spellEnd"/>
      <w:r w:rsidRPr="00D80E93">
        <w:rPr>
          <w:rFonts w:ascii="Arial" w:eastAsia="Times New Roman" w:hAnsi="Arial" w:cs="Arial"/>
          <w:color w:val="191919"/>
          <w:sz w:val="23"/>
          <w:szCs w:val="23"/>
          <w:lang w:eastAsia="en-MY"/>
        </w:rPr>
        <w:t xml:space="preserve"> of someone to obtain or retain a commercial advantage.</w:t>
      </w:r>
    </w:p>
    <w:p w:rsidR="00CF3462" w:rsidRPr="00CF3462" w:rsidRDefault="00CF3462" w:rsidP="00D80E93">
      <w:pPr>
        <w:shd w:val="clear" w:color="auto" w:fill="FFFFFF"/>
        <w:spacing w:after="150" w:line="240" w:lineRule="auto"/>
        <w:outlineLvl w:val="2"/>
        <w:rPr>
          <w:rFonts w:ascii="Arial" w:eastAsia="Times New Roman" w:hAnsi="Arial" w:cs="Arial"/>
          <w:b/>
          <w:color w:val="191919"/>
          <w:sz w:val="18"/>
          <w:szCs w:val="38"/>
          <w:lang w:eastAsia="en-MY"/>
        </w:rPr>
      </w:pPr>
    </w:p>
    <w:p w:rsidR="00D80E93" w:rsidRPr="00D80E93" w:rsidRDefault="00D80E93" w:rsidP="00D80E93">
      <w:pPr>
        <w:shd w:val="clear" w:color="auto" w:fill="FFFFFF"/>
        <w:spacing w:after="150" w:line="240" w:lineRule="auto"/>
        <w:outlineLvl w:val="2"/>
        <w:rPr>
          <w:rFonts w:ascii="Arial" w:eastAsia="Times New Roman" w:hAnsi="Arial" w:cs="Arial"/>
          <w:b/>
          <w:color w:val="191919"/>
          <w:sz w:val="32"/>
          <w:szCs w:val="38"/>
          <w:lang w:eastAsia="en-MY"/>
        </w:rPr>
      </w:pPr>
      <w:r w:rsidRPr="00D80E93">
        <w:rPr>
          <w:rFonts w:ascii="Arial" w:eastAsia="Times New Roman" w:hAnsi="Arial" w:cs="Arial"/>
          <w:b/>
          <w:color w:val="191919"/>
          <w:sz w:val="32"/>
          <w:szCs w:val="38"/>
          <w:lang w:eastAsia="en-MY"/>
        </w:rPr>
        <w:t>ANTI-BRIBERY POLICY</w:t>
      </w:r>
    </w:p>
    <w:p w:rsidR="00D80E93" w:rsidRPr="00D80E93" w:rsidRDefault="001A7838"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b/>
          <w:bCs/>
          <w:color w:val="191919"/>
          <w:sz w:val="23"/>
          <w:szCs w:val="23"/>
          <w:lang w:eastAsia="en-MY"/>
        </w:rPr>
        <w:t>OBJECTIVE</w:t>
      </w:r>
    </w:p>
    <w:p w:rsidR="00D80E93" w:rsidRPr="00D80E93" w:rsidRDefault="00D80E93" w:rsidP="001A7838">
      <w:pPr>
        <w:shd w:val="clear" w:color="auto" w:fill="FFFFFF"/>
        <w:spacing w:after="150" w:line="240" w:lineRule="auto"/>
        <w:jc w:val="both"/>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xml:space="preserve">To state </w:t>
      </w:r>
      <w:r>
        <w:rPr>
          <w:rFonts w:ascii="Arial" w:eastAsia="Times New Roman" w:hAnsi="Arial" w:cs="Arial"/>
          <w:color w:val="191919"/>
          <w:sz w:val="23"/>
          <w:szCs w:val="23"/>
          <w:lang w:eastAsia="en-MY"/>
        </w:rPr>
        <w:t>TNB ILSAS’s</w:t>
      </w:r>
      <w:r w:rsidRPr="00D80E93">
        <w:rPr>
          <w:rFonts w:ascii="Arial" w:eastAsia="Times New Roman" w:hAnsi="Arial" w:cs="Arial"/>
          <w:color w:val="191919"/>
          <w:sz w:val="23"/>
          <w:szCs w:val="23"/>
          <w:lang w:eastAsia="en-MY"/>
        </w:rPr>
        <w:t xml:space="preserve"> position on bribery and related matters, and to establish key pillars in its structure to protect the company against the impact of bribery.</w:t>
      </w:r>
    </w:p>
    <w:p w:rsidR="009913C8" w:rsidRDefault="009913C8" w:rsidP="00D80E93">
      <w:pPr>
        <w:spacing w:after="0" w:line="240" w:lineRule="auto"/>
        <w:rPr>
          <w:rFonts w:ascii="Arial" w:eastAsia="Times New Roman" w:hAnsi="Arial" w:cs="Arial"/>
          <w:b/>
          <w:bCs/>
          <w:color w:val="191919"/>
          <w:sz w:val="23"/>
          <w:szCs w:val="23"/>
          <w:shd w:val="clear" w:color="auto" w:fill="FFFFFF"/>
          <w:lang w:eastAsia="en-MY"/>
        </w:rPr>
      </w:pPr>
    </w:p>
    <w:p w:rsidR="00D80E93" w:rsidRPr="00D80E93" w:rsidRDefault="001A7838" w:rsidP="00D80E93">
      <w:pPr>
        <w:spacing w:after="0" w:line="240" w:lineRule="auto"/>
        <w:rPr>
          <w:rFonts w:ascii="Times New Roman" w:eastAsia="Times New Roman" w:hAnsi="Times New Roman" w:cs="Times New Roman"/>
          <w:sz w:val="24"/>
          <w:szCs w:val="24"/>
          <w:lang w:eastAsia="en-MY"/>
        </w:rPr>
      </w:pPr>
      <w:r w:rsidRPr="00D80E93">
        <w:rPr>
          <w:rFonts w:ascii="Arial" w:eastAsia="Times New Roman" w:hAnsi="Arial" w:cs="Arial"/>
          <w:b/>
          <w:bCs/>
          <w:color w:val="191919"/>
          <w:sz w:val="23"/>
          <w:szCs w:val="23"/>
          <w:shd w:val="clear" w:color="auto" w:fill="FFFFFF"/>
          <w:lang w:eastAsia="en-MY"/>
        </w:rPr>
        <w:t>SUMMARY</w:t>
      </w:r>
    </w:p>
    <w:p w:rsidR="00D80E93" w:rsidRDefault="00D80E93" w:rsidP="00D80E93">
      <w:pPr>
        <w:spacing w:after="0" w:line="240" w:lineRule="auto"/>
        <w:rPr>
          <w:rFonts w:ascii="Arial" w:eastAsia="Times New Roman" w:hAnsi="Arial" w:cs="Arial"/>
          <w:color w:val="191919"/>
          <w:sz w:val="23"/>
          <w:szCs w:val="23"/>
          <w:shd w:val="clear" w:color="auto" w:fill="FFFFFF"/>
          <w:lang w:eastAsia="en-MY"/>
        </w:rPr>
      </w:pPr>
    </w:p>
    <w:p w:rsidR="00D80E93" w:rsidRDefault="00D80E93" w:rsidP="001A7838">
      <w:pPr>
        <w:spacing w:after="0" w:line="240" w:lineRule="auto"/>
        <w:jc w:val="both"/>
        <w:rPr>
          <w:rFonts w:ascii="Arial" w:eastAsia="Times New Roman" w:hAnsi="Arial" w:cs="Arial"/>
          <w:color w:val="191919"/>
          <w:sz w:val="23"/>
          <w:szCs w:val="23"/>
          <w:shd w:val="clear" w:color="auto" w:fill="FFFFFF"/>
          <w:lang w:eastAsia="en-MY"/>
        </w:rPr>
      </w:pPr>
      <w:r w:rsidRPr="00D80E93">
        <w:rPr>
          <w:rFonts w:ascii="Arial" w:eastAsia="Times New Roman" w:hAnsi="Arial" w:cs="Arial"/>
          <w:color w:val="191919"/>
          <w:sz w:val="23"/>
          <w:szCs w:val="23"/>
          <w:shd w:val="clear" w:color="auto" w:fill="FFFFFF"/>
          <w:lang w:eastAsia="en-MY"/>
        </w:rPr>
        <w:t>Bribery in all its forms related to T</w:t>
      </w:r>
      <w:r>
        <w:rPr>
          <w:rFonts w:ascii="Arial" w:eastAsia="Times New Roman" w:hAnsi="Arial" w:cs="Arial"/>
          <w:color w:val="191919"/>
          <w:sz w:val="23"/>
          <w:szCs w:val="23"/>
          <w:shd w:val="clear" w:color="auto" w:fill="FFFFFF"/>
          <w:lang w:eastAsia="en-MY"/>
        </w:rPr>
        <w:t xml:space="preserve">NB ILSAS’s </w:t>
      </w:r>
      <w:r w:rsidRPr="00D80E93">
        <w:rPr>
          <w:rFonts w:ascii="Arial" w:eastAsia="Times New Roman" w:hAnsi="Arial" w:cs="Arial"/>
          <w:color w:val="191919"/>
          <w:sz w:val="23"/>
          <w:szCs w:val="23"/>
          <w:shd w:val="clear" w:color="auto" w:fill="FFFFFF"/>
          <w:lang w:eastAsia="en-MY"/>
        </w:rPr>
        <w:t xml:space="preserve">activities is prohibited. It is the responsibility of Personnel at all levels to act with integrity. </w:t>
      </w:r>
      <w:r w:rsidRPr="00D80E93">
        <w:rPr>
          <w:rFonts w:ascii="Arial" w:eastAsia="Times New Roman" w:hAnsi="Arial" w:cs="Arial"/>
          <w:color w:val="191919"/>
          <w:sz w:val="23"/>
          <w:szCs w:val="23"/>
          <w:shd w:val="clear" w:color="auto" w:fill="FFFFFF"/>
          <w:lang w:eastAsia="en-MY"/>
        </w:rPr>
        <w:t>T</w:t>
      </w:r>
      <w:r>
        <w:rPr>
          <w:rFonts w:ascii="Arial" w:eastAsia="Times New Roman" w:hAnsi="Arial" w:cs="Arial"/>
          <w:color w:val="191919"/>
          <w:sz w:val="23"/>
          <w:szCs w:val="23"/>
          <w:shd w:val="clear" w:color="auto" w:fill="FFFFFF"/>
          <w:lang w:eastAsia="en-MY"/>
        </w:rPr>
        <w:t>NB ILSAS’s</w:t>
      </w:r>
      <w:r w:rsidRPr="00D80E93">
        <w:rPr>
          <w:rFonts w:ascii="Arial" w:eastAsia="Times New Roman" w:hAnsi="Arial" w:cs="Arial"/>
          <w:color w:val="191919"/>
          <w:sz w:val="23"/>
          <w:szCs w:val="23"/>
          <w:shd w:val="clear" w:color="auto" w:fill="FFFFFF"/>
          <w:lang w:eastAsia="en-MY"/>
        </w:rPr>
        <w:t xml:space="preserve"> </w:t>
      </w:r>
      <w:r w:rsidRPr="00D80E93">
        <w:rPr>
          <w:rFonts w:ascii="Arial" w:eastAsia="Times New Roman" w:hAnsi="Arial" w:cs="Arial"/>
          <w:color w:val="191919"/>
          <w:sz w:val="23"/>
          <w:szCs w:val="23"/>
          <w:shd w:val="clear" w:color="auto" w:fill="FFFFFF"/>
          <w:lang w:eastAsia="en-MY"/>
        </w:rPr>
        <w:t>holds a ‘No Gifts’ policy, although certain exceptions are allowed. Integrity Pledges must be signed by Personnel on a regular basis, as well as a Conflict of Interest declaration. Business Associates acting on behalf of the company must be managed carefully. Reporting of misconduct by Personnel or third parties is expected, with protection provided for all disclosers acting in good faith. The company is committed to enforcing its position, with the Anti-Bribery Compliance Function and Business Support Quality and Communication taking on this role. The Anti-Bribery Management System will be assessed and updated on a regular basis to ensure its effectiveness is maintained.</w:t>
      </w:r>
    </w:p>
    <w:p w:rsidR="00D80E93" w:rsidRDefault="00D80E93" w:rsidP="00D80E93">
      <w:pPr>
        <w:spacing w:after="0" w:line="240" w:lineRule="auto"/>
        <w:rPr>
          <w:rFonts w:ascii="Times New Roman" w:eastAsia="Times New Roman" w:hAnsi="Times New Roman" w:cs="Times New Roman"/>
          <w:sz w:val="24"/>
          <w:szCs w:val="24"/>
          <w:lang w:eastAsia="en-MY"/>
        </w:rPr>
      </w:pPr>
    </w:p>
    <w:p w:rsidR="00D80E93" w:rsidRDefault="001A7838" w:rsidP="00D80E93">
      <w:pPr>
        <w:spacing w:after="0" w:line="240" w:lineRule="auto"/>
        <w:rPr>
          <w:rFonts w:ascii="Arial" w:eastAsia="Times New Roman" w:hAnsi="Arial" w:cs="Arial"/>
          <w:b/>
          <w:i/>
          <w:noProof/>
          <w:sz w:val="24"/>
          <w:szCs w:val="24"/>
          <w:lang w:eastAsia="en-MY"/>
        </w:rPr>
      </w:pPr>
      <w:hyperlink r:id="rId5" w:history="1">
        <w:r w:rsidRPr="001A7838">
          <w:rPr>
            <w:rStyle w:val="Hyperlink"/>
            <w:rFonts w:ascii="Arial" w:eastAsia="Times New Roman" w:hAnsi="Arial" w:cs="Arial"/>
            <w:b/>
            <w:i/>
            <w:noProof/>
            <w:sz w:val="24"/>
            <w:szCs w:val="24"/>
            <w:lang w:eastAsia="en-MY"/>
          </w:rPr>
          <w:t>Click here for Anti-Bribery Policy</w:t>
        </w:r>
      </w:hyperlink>
    </w:p>
    <w:p w:rsidR="00CB0D82" w:rsidRPr="00D80E93" w:rsidRDefault="00CB0D82" w:rsidP="00D80E93">
      <w:pPr>
        <w:spacing w:after="0" w:line="240" w:lineRule="auto"/>
        <w:rPr>
          <w:rFonts w:ascii="Arial" w:eastAsia="Times New Roman" w:hAnsi="Arial" w:cs="Arial"/>
          <w:b/>
          <w:i/>
          <w:sz w:val="24"/>
          <w:szCs w:val="24"/>
          <w:lang w:eastAsia="en-MY"/>
        </w:rPr>
      </w:pPr>
    </w:p>
    <w:p w:rsidR="00D80E93" w:rsidRPr="00D80E93" w:rsidRDefault="00D80E93" w:rsidP="00D80E93">
      <w:pPr>
        <w:shd w:val="clear" w:color="auto" w:fill="FFFFFF"/>
        <w:spacing w:after="150" w:line="240" w:lineRule="auto"/>
        <w:outlineLvl w:val="2"/>
        <w:rPr>
          <w:rFonts w:ascii="Arial" w:eastAsia="Times New Roman" w:hAnsi="Arial" w:cs="Arial"/>
          <w:b/>
          <w:color w:val="191919"/>
          <w:sz w:val="32"/>
          <w:szCs w:val="38"/>
          <w:lang w:eastAsia="en-MY"/>
        </w:rPr>
      </w:pPr>
      <w:r w:rsidRPr="00D80E93">
        <w:rPr>
          <w:rFonts w:ascii="Arial" w:eastAsia="Times New Roman" w:hAnsi="Arial" w:cs="Arial"/>
          <w:b/>
          <w:color w:val="191919"/>
          <w:sz w:val="32"/>
          <w:szCs w:val="38"/>
          <w:lang w:eastAsia="en-MY"/>
        </w:rPr>
        <w:t>CONFLICT OF INTEREST POLICY</w:t>
      </w:r>
    </w:p>
    <w:p w:rsidR="00D80E93" w:rsidRPr="00D80E93" w:rsidRDefault="001A7838"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b/>
          <w:bCs/>
          <w:color w:val="191919"/>
          <w:sz w:val="23"/>
          <w:szCs w:val="23"/>
          <w:lang w:eastAsia="en-MY"/>
        </w:rPr>
        <w:t>OBJECTIVE</w:t>
      </w:r>
    </w:p>
    <w:p w:rsidR="00D80E93" w:rsidRPr="00D80E93" w:rsidRDefault="00D80E93" w:rsidP="001A7838">
      <w:pPr>
        <w:spacing w:after="0" w:line="240" w:lineRule="auto"/>
        <w:jc w:val="both"/>
        <w:rPr>
          <w:rFonts w:ascii="Times New Roman" w:eastAsia="Times New Roman" w:hAnsi="Times New Roman" w:cs="Times New Roman"/>
          <w:sz w:val="24"/>
          <w:szCs w:val="24"/>
          <w:lang w:eastAsia="en-MY"/>
        </w:rPr>
      </w:pPr>
      <w:r w:rsidRPr="00D80E93">
        <w:rPr>
          <w:rFonts w:ascii="Arial" w:eastAsia="Times New Roman" w:hAnsi="Arial" w:cs="Arial"/>
          <w:color w:val="191919"/>
          <w:sz w:val="23"/>
          <w:szCs w:val="23"/>
          <w:shd w:val="clear" w:color="auto" w:fill="FFFFFF"/>
          <w:lang w:eastAsia="en-MY"/>
        </w:rPr>
        <w:t xml:space="preserve">To establish </w:t>
      </w:r>
      <w:r w:rsidR="00A72209">
        <w:rPr>
          <w:rFonts w:ascii="Arial" w:eastAsia="Times New Roman" w:hAnsi="Arial" w:cs="Arial"/>
          <w:color w:val="191919"/>
          <w:sz w:val="23"/>
          <w:szCs w:val="23"/>
          <w:lang w:eastAsia="en-MY"/>
        </w:rPr>
        <w:t>TNB Integrated Learning</w:t>
      </w:r>
      <w:r w:rsidR="001A7838">
        <w:rPr>
          <w:rFonts w:ascii="Arial" w:eastAsia="Times New Roman" w:hAnsi="Arial" w:cs="Arial"/>
          <w:color w:val="191919"/>
          <w:sz w:val="23"/>
          <w:szCs w:val="23"/>
          <w:lang w:eastAsia="en-MY"/>
        </w:rPr>
        <w:t xml:space="preserve"> Solution, </w:t>
      </w:r>
      <w:r w:rsidR="00A72209">
        <w:rPr>
          <w:rFonts w:ascii="Arial" w:eastAsia="Times New Roman" w:hAnsi="Arial" w:cs="Arial"/>
          <w:color w:val="191919"/>
          <w:sz w:val="23"/>
          <w:szCs w:val="23"/>
          <w:lang w:eastAsia="en-MY"/>
        </w:rPr>
        <w:t>ILSAS</w:t>
      </w:r>
      <w:r w:rsidR="00A72209">
        <w:rPr>
          <w:rFonts w:ascii="Arial" w:eastAsia="Times New Roman" w:hAnsi="Arial" w:cs="Arial"/>
          <w:color w:val="191919"/>
          <w:sz w:val="23"/>
          <w:szCs w:val="23"/>
          <w:lang w:eastAsia="en-MY"/>
        </w:rPr>
        <w:t>’</w:t>
      </w:r>
      <w:r w:rsidRPr="00D80E93">
        <w:rPr>
          <w:rFonts w:ascii="Arial" w:eastAsia="Times New Roman" w:hAnsi="Arial" w:cs="Arial"/>
          <w:color w:val="191919"/>
          <w:sz w:val="23"/>
          <w:szCs w:val="23"/>
          <w:shd w:val="clear" w:color="auto" w:fill="FFFFFF"/>
          <w:lang w:eastAsia="en-MY"/>
        </w:rPr>
        <w:t>s position on Conflicts of Interest, the company’s expectation that Personnel at all levels should declare any conflicts as they arise, and state the sanctions for non-compliance.</w:t>
      </w:r>
    </w:p>
    <w:p w:rsidR="00A72209" w:rsidRDefault="00A72209" w:rsidP="001A7838">
      <w:pPr>
        <w:spacing w:after="0" w:line="240" w:lineRule="auto"/>
        <w:jc w:val="both"/>
        <w:rPr>
          <w:rFonts w:ascii="Arial" w:eastAsia="Times New Roman" w:hAnsi="Arial" w:cs="Arial"/>
          <w:b/>
          <w:bCs/>
          <w:color w:val="191919"/>
          <w:sz w:val="23"/>
          <w:szCs w:val="23"/>
          <w:shd w:val="clear" w:color="auto" w:fill="FFFFFF"/>
          <w:lang w:eastAsia="en-MY"/>
        </w:rPr>
      </w:pPr>
    </w:p>
    <w:p w:rsidR="00D80E93" w:rsidRPr="00D80E93" w:rsidRDefault="001A7838" w:rsidP="00D80E93">
      <w:pPr>
        <w:spacing w:after="0" w:line="240" w:lineRule="auto"/>
        <w:rPr>
          <w:rFonts w:ascii="Times New Roman" w:eastAsia="Times New Roman" w:hAnsi="Times New Roman" w:cs="Times New Roman"/>
          <w:sz w:val="24"/>
          <w:szCs w:val="24"/>
          <w:lang w:eastAsia="en-MY"/>
        </w:rPr>
      </w:pPr>
      <w:r w:rsidRPr="00D80E93">
        <w:rPr>
          <w:rFonts w:ascii="Arial" w:eastAsia="Times New Roman" w:hAnsi="Arial" w:cs="Arial"/>
          <w:b/>
          <w:bCs/>
          <w:color w:val="191919"/>
          <w:sz w:val="23"/>
          <w:szCs w:val="23"/>
          <w:shd w:val="clear" w:color="auto" w:fill="FFFFFF"/>
          <w:lang w:eastAsia="en-MY"/>
        </w:rPr>
        <w:t>SUMMARY</w:t>
      </w:r>
    </w:p>
    <w:p w:rsidR="00D80E93" w:rsidRDefault="00D80E93" w:rsidP="001A7838">
      <w:pPr>
        <w:spacing w:after="0" w:line="240" w:lineRule="auto"/>
        <w:jc w:val="both"/>
        <w:rPr>
          <w:rFonts w:ascii="Arial" w:eastAsia="Times New Roman" w:hAnsi="Arial" w:cs="Arial"/>
          <w:color w:val="191919"/>
          <w:sz w:val="23"/>
          <w:szCs w:val="23"/>
          <w:shd w:val="clear" w:color="auto" w:fill="FFFFFF"/>
          <w:lang w:eastAsia="en-MY"/>
        </w:rPr>
      </w:pPr>
      <w:r w:rsidRPr="00D80E93">
        <w:rPr>
          <w:rFonts w:ascii="Arial" w:eastAsia="Times New Roman" w:hAnsi="Arial" w:cs="Arial"/>
          <w:color w:val="191919"/>
          <w:sz w:val="23"/>
          <w:szCs w:val="23"/>
          <w:shd w:val="clear" w:color="auto" w:fill="FFFFFF"/>
          <w:lang w:eastAsia="en-MY"/>
        </w:rPr>
        <w:t>It is the policy of T</w:t>
      </w:r>
      <w:r w:rsidR="00A72209">
        <w:rPr>
          <w:rFonts w:ascii="Arial" w:eastAsia="Times New Roman" w:hAnsi="Arial" w:cs="Arial"/>
          <w:color w:val="191919"/>
          <w:sz w:val="23"/>
          <w:szCs w:val="23"/>
          <w:shd w:val="clear" w:color="auto" w:fill="FFFFFF"/>
          <w:lang w:eastAsia="en-MY"/>
        </w:rPr>
        <w:t>NB ILSAS</w:t>
      </w:r>
      <w:r w:rsidRPr="00D80E93">
        <w:rPr>
          <w:rFonts w:ascii="Arial" w:eastAsia="Times New Roman" w:hAnsi="Arial" w:cs="Arial"/>
          <w:color w:val="191919"/>
          <w:sz w:val="23"/>
          <w:szCs w:val="23"/>
          <w:shd w:val="clear" w:color="auto" w:fill="FFFFFF"/>
          <w:lang w:eastAsia="en-MY"/>
        </w:rPr>
        <w:t xml:space="preserve"> that the disclosure and management of Conflicts of Interest is the responsibility of its Personnel at all levels. All potential, perceived and actual conflicts are to be declared in a timely manner and managed using the mechanisms provided by the company. Primary responsibility for managing the declaration lies with the person’s own Manager, with support provided by Human Resource </w:t>
      </w:r>
      <w:r w:rsidR="001A7838">
        <w:rPr>
          <w:rFonts w:ascii="Arial" w:eastAsia="Times New Roman" w:hAnsi="Arial" w:cs="Arial"/>
          <w:color w:val="191919"/>
          <w:sz w:val="23"/>
          <w:szCs w:val="23"/>
          <w:shd w:val="clear" w:color="auto" w:fill="FFFFFF"/>
          <w:lang w:eastAsia="en-MY"/>
        </w:rPr>
        <w:t>Unit</w:t>
      </w:r>
      <w:r w:rsidRPr="00D80E93">
        <w:rPr>
          <w:rFonts w:ascii="Arial" w:eastAsia="Times New Roman" w:hAnsi="Arial" w:cs="Arial"/>
          <w:color w:val="191919"/>
          <w:sz w:val="23"/>
          <w:szCs w:val="23"/>
          <w:shd w:val="clear" w:color="auto" w:fill="FFFFFF"/>
          <w:lang w:eastAsia="en-MY"/>
        </w:rPr>
        <w:t xml:space="preserve"> (HRM) and the Anti-Bribery Compliance Function. Sanctions for non-compliance can be severe, depending on the nature of the declared conflict and its impact on the company.</w:t>
      </w:r>
    </w:p>
    <w:p w:rsidR="00A72209" w:rsidRDefault="00A72209" w:rsidP="00D80E93">
      <w:pPr>
        <w:spacing w:after="0" w:line="240" w:lineRule="auto"/>
        <w:rPr>
          <w:rFonts w:ascii="Times New Roman" w:eastAsia="Times New Roman" w:hAnsi="Times New Roman" w:cs="Times New Roman"/>
          <w:sz w:val="24"/>
          <w:szCs w:val="24"/>
          <w:lang w:eastAsia="en-MY"/>
        </w:rPr>
      </w:pPr>
    </w:p>
    <w:p w:rsidR="00D80E93" w:rsidRDefault="001A7838" w:rsidP="00D80E93">
      <w:pPr>
        <w:shd w:val="clear" w:color="auto" w:fill="FFFFFF"/>
        <w:spacing w:after="150" w:line="240" w:lineRule="auto"/>
        <w:outlineLvl w:val="2"/>
        <w:rPr>
          <w:rFonts w:ascii="Arial" w:eastAsia="Times New Roman" w:hAnsi="Arial" w:cs="Arial"/>
          <w:b/>
          <w:bCs/>
          <w:i/>
          <w:iCs/>
          <w:color w:val="333333"/>
          <w:sz w:val="24"/>
          <w:szCs w:val="38"/>
          <w:lang w:eastAsia="en-MY"/>
        </w:rPr>
      </w:pPr>
      <w:hyperlink r:id="rId6" w:history="1">
        <w:r w:rsidR="00D80E93" w:rsidRPr="001A7838">
          <w:rPr>
            <w:rStyle w:val="Hyperlink"/>
            <w:rFonts w:ascii="Arial" w:eastAsia="Times New Roman" w:hAnsi="Arial" w:cs="Arial"/>
            <w:b/>
            <w:bCs/>
            <w:i/>
            <w:iCs/>
            <w:sz w:val="24"/>
            <w:szCs w:val="38"/>
            <w:lang w:eastAsia="en-MY"/>
          </w:rPr>
          <w:t>Click here for declaration conflict of interest form</w:t>
        </w:r>
      </w:hyperlink>
    </w:p>
    <w:p w:rsidR="005C5D0F" w:rsidRDefault="005C5D0F" w:rsidP="005C5D0F">
      <w:pPr>
        <w:shd w:val="clear" w:color="auto" w:fill="FFFFFF"/>
        <w:spacing w:after="150" w:line="240" w:lineRule="auto"/>
        <w:outlineLvl w:val="2"/>
        <w:rPr>
          <w:rFonts w:ascii="Arial" w:eastAsia="Times New Roman" w:hAnsi="Arial" w:cs="Arial"/>
          <w:b/>
          <w:bCs/>
          <w:i/>
          <w:iCs/>
          <w:color w:val="333333"/>
          <w:sz w:val="24"/>
          <w:szCs w:val="38"/>
          <w:lang w:eastAsia="en-MY"/>
        </w:rPr>
      </w:pPr>
      <w:hyperlink r:id="rId7" w:history="1">
        <w:r w:rsidRPr="005C5D0F">
          <w:rPr>
            <w:rStyle w:val="Hyperlink"/>
            <w:rFonts w:ascii="Arial" w:eastAsia="Times New Roman" w:hAnsi="Arial" w:cs="Arial"/>
            <w:b/>
            <w:bCs/>
            <w:i/>
            <w:iCs/>
            <w:sz w:val="24"/>
            <w:szCs w:val="38"/>
            <w:lang w:eastAsia="en-MY"/>
          </w:rPr>
          <w:t>Click here for Integrity Pack Form</w:t>
        </w:r>
      </w:hyperlink>
    </w:p>
    <w:p w:rsidR="005C5D0F" w:rsidRDefault="005C5D0F" w:rsidP="005C5D0F">
      <w:pPr>
        <w:shd w:val="clear" w:color="auto" w:fill="FFFFFF"/>
        <w:spacing w:after="150" w:line="240" w:lineRule="auto"/>
        <w:outlineLvl w:val="2"/>
        <w:rPr>
          <w:rFonts w:ascii="Arial" w:eastAsia="Times New Roman" w:hAnsi="Arial" w:cs="Arial"/>
          <w:b/>
          <w:bCs/>
          <w:i/>
          <w:iCs/>
          <w:color w:val="333333"/>
          <w:sz w:val="24"/>
          <w:szCs w:val="38"/>
          <w:lang w:eastAsia="en-MY"/>
        </w:rPr>
      </w:pPr>
      <w:hyperlink r:id="rId8" w:history="1">
        <w:r w:rsidRPr="005C5D0F">
          <w:rPr>
            <w:rStyle w:val="Hyperlink"/>
            <w:rFonts w:ascii="Arial" w:eastAsia="Times New Roman" w:hAnsi="Arial" w:cs="Arial"/>
            <w:b/>
            <w:bCs/>
            <w:i/>
            <w:iCs/>
            <w:sz w:val="24"/>
            <w:szCs w:val="38"/>
            <w:lang w:eastAsia="en-MY"/>
          </w:rPr>
          <w:t>Click here for Integrity Pledge Form</w:t>
        </w:r>
      </w:hyperlink>
    </w:p>
    <w:p w:rsidR="005C5D0F" w:rsidRDefault="005C5D0F" w:rsidP="005C5D0F">
      <w:pPr>
        <w:shd w:val="clear" w:color="auto" w:fill="FFFFFF"/>
        <w:spacing w:after="150" w:line="240" w:lineRule="auto"/>
        <w:outlineLvl w:val="2"/>
        <w:rPr>
          <w:rFonts w:ascii="Arial" w:eastAsia="Times New Roman" w:hAnsi="Arial" w:cs="Arial"/>
          <w:b/>
          <w:bCs/>
          <w:i/>
          <w:iCs/>
          <w:color w:val="333333"/>
          <w:sz w:val="24"/>
          <w:szCs w:val="38"/>
          <w:lang w:eastAsia="en-MY"/>
        </w:rPr>
      </w:pPr>
    </w:p>
    <w:p w:rsidR="00D80E93" w:rsidRPr="00D80E93" w:rsidRDefault="00D80E93" w:rsidP="00D80E93">
      <w:pPr>
        <w:shd w:val="clear" w:color="auto" w:fill="FFFFFF"/>
        <w:spacing w:after="150" w:line="240" w:lineRule="auto"/>
        <w:outlineLvl w:val="2"/>
        <w:rPr>
          <w:rFonts w:ascii="Arial" w:eastAsia="Times New Roman" w:hAnsi="Arial" w:cs="Arial"/>
          <w:b/>
          <w:color w:val="191919"/>
          <w:sz w:val="32"/>
          <w:szCs w:val="38"/>
          <w:lang w:eastAsia="en-MY"/>
        </w:rPr>
      </w:pPr>
      <w:r w:rsidRPr="00D80E93">
        <w:rPr>
          <w:rFonts w:ascii="Arial" w:eastAsia="Times New Roman" w:hAnsi="Arial" w:cs="Arial"/>
          <w:b/>
          <w:color w:val="191919"/>
          <w:sz w:val="32"/>
          <w:szCs w:val="38"/>
          <w:lang w:eastAsia="en-MY"/>
        </w:rPr>
        <w:lastRenderedPageBreak/>
        <w:t>WHISTLEBLOWING POLICY</w:t>
      </w:r>
    </w:p>
    <w:p w:rsidR="00D80E93" w:rsidRPr="00D80E93" w:rsidRDefault="00CB0D82"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b/>
          <w:bCs/>
          <w:color w:val="191919"/>
          <w:sz w:val="23"/>
          <w:szCs w:val="23"/>
          <w:lang w:eastAsia="en-MY"/>
        </w:rPr>
        <w:t>OBJECTIVE</w:t>
      </w:r>
    </w:p>
    <w:p w:rsidR="00D80E93" w:rsidRPr="00D80E93" w:rsidRDefault="00D80E93" w:rsidP="00CB0D82">
      <w:pPr>
        <w:spacing w:after="0" w:line="240" w:lineRule="auto"/>
        <w:jc w:val="both"/>
        <w:rPr>
          <w:rFonts w:ascii="Times New Roman" w:eastAsia="Times New Roman" w:hAnsi="Times New Roman" w:cs="Times New Roman"/>
          <w:sz w:val="24"/>
          <w:szCs w:val="24"/>
          <w:lang w:eastAsia="en-MY"/>
        </w:rPr>
      </w:pPr>
      <w:r w:rsidRPr="00D80E93">
        <w:rPr>
          <w:rFonts w:ascii="Arial" w:eastAsia="Times New Roman" w:hAnsi="Arial" w:cs="Arial"/>
          <w:color w:val="191919"/>
          <w:sz w:val="23"/>
          <w:szCs w:val="23"/>
          <w:shd w:val="clear" w:color="auto" w:fill="FFFFFF"/>
          <w:lang w:eastAsia="en-MY"/>
        </w:rPr>
        <w:t xml:space="preserve">To establish secure and confidential reporting channels, ensure </w:t>
      </w:r>
      <w:proofErr w:type="spellStart"/>
      <w:r w:rsidRPr="00D80E93">
        <w:rPr>
          <w:rFonts w:ascii="Arial" w:eastAsia="Times New Roman" w:hAnsi="Arial" w:cs="Arial"/>
          <w:color w:val="191919"/>
          <w:sz w:val="23"/>
          <w:szCs w:val="23"/>
          <w:shd w:val="clear" w:color="auto" w:fill="FFFFFF"/>
          <w:lang w:eastAsia="en-MY"/>
        </w:rPr>
        <w:t>whistleblower</w:t>
      </w:r>
      <w:proofErr w:type="spellEnd"/>
      <w:r w:rsidRPr="00D80E93">
        <w:rPr>
          <w:rFonts w:ascii="Arial" w:eastAsia="Times New Roman" w:hAnsi="Arial" w:cs="Arial"/>
          <w:color w:val="191919"/>
          <w:sz w:val="23"/>
          <w:szCs w:val="23"/>
          <w:shd w:val="clear" w:color="auto" w:fill="FFFFFF"/>
          <w:lang w:eastAsia="en-MY"/>
        </w:rPr>
        <w:t xml:space="preserve"> protection, and provide guidelines on managing reports to their conclusion in an effective and timely manner.</w:t>
      </w:r>
    </w:p>
    <w:p w:rsidR="00A72209" w:rsidRDefault="00A72209" w:rsidP="00D80E93">
      <w:pPr>
        <w:spacing w:after="0" w:line="240" w:lineRule="auto"/>
        <w:rPr>
          <w:rFonts w:ascii="Arial" w:eastAsia="Times New Roman" w:hAnsi="Arial" w:cs="Arial"/>
          <w:b/>
          <w:bCs/>
          <w:color w:val="191919"/>
          <w:sz w:val="23"/>
          <w:szCs w:val="23"/>
          <w:shd w:val="clear" w:color="auto" w:fill="FFFFFF"/>
          <w:lang w:eastAsia="en-MY"/>
        </w:rPr>
      </w:pPr>
    </w:p>
    <w:p w:rsidR="00D80E93" w:rsidRDefault="00CB0D82" w:rsidP="00D80E93">
      <w:pPr>
        <w:spacing w:after="0" w:line="240" w:lineRule="auto"/>
        <w:rPr>
          <w:rFonts w:ascii="Arial" w:eastAsia="Times New Roman" w:hAnsi="Arial" w:cs="Arial"/>
          <w:b/>
          <w:bCs/>
          <w:color w:val="191919"/>
          <w:sz w:val="23"/>
          <w:szCs w:val="23"/>
          <w:shd w:val="clear" w:color="auto" w:fill="FFFFFF"/>
          <w:lang w:eastAsia="en-MY"/>
        </w:rPr>
      </w:pPr>
      <w:r w:rsidRPr="00D80E93">
        <w:rPr>
          <w:rFonts w:ascii="Arial" w:eastAsia="Times New Roman" w:hAnsi="Arial" w:cs="Arial"/>
          <w:b/>
          <w:bCs/>
          <w:color w:val="191919"/>
          <w:sz w:val="23"/>
          <w:szCs w:val="23"/>
          <w:shd w:val="clear" w:color="auto" w:fill="FFFFFF"/>
          <w:lang w:eastAsia="en-MY"/>
        </w:rPr>
        <w:t>SUMMARY</w:t>
      </w:r>
    </w:p>
    <w:p w:rsidR="00A72209" w:rsidRPr="00D80E93" w:rsidRDefault="00A72209" w:rsidP="00D80E93">
      <w:pPr>
        <w:spacing w:after="0" w:line="240" w:lineRule="auto"/>
        <w:rPr>
          <w:rFonts w:ascii="Times New Roman" w:eastAsia="Times New Roman" w:hAnsi="Times New Roman" w:cs="Times New Roman"/>
          <w:sz w:val="24"/>
          <w:szCs w:val="24"/>
          <w:lang w:eastAsia="en-MY"/>
        </w:rPr>
      </w:pPr>
    </w:p>
    <w:p w:rsidR="00D80E93" w:rsidRPr="00D80E93" w:rsidRDefault="00A72209" w:rsidP="00CB0D82">
      <w:pPr>
        <w:shd w:val="clear" w:color="auto" w:fill="FFFFFF"/>
        <w:spacing w:after="150" w:line="240" w:lineRule="auto"/>
        <w:jc w:val="both"/>
        <w:rPr>
          <w:rFonts w:ascii="Arial" w:eastAsia="Times New Roman" w:hAnsi="Arial" w:cs="Arial"/>
          <w:color w:val="191919"/>
          <w:sz w:val="23"/>
          <w:szCs w:val="23"/>
          <w:lang w:eastAsia="en-MY"/>
        </w:rPr>
      </w:pPr>
      <w:r>
        <w:rPr>
          <w:rFonts w:ascii="Arial" w:eastAsia="Times New Roman" w:hAnsi="Arial" w:cs="Arial"/>
          <w:color w:val="191919"/>
          <w:sz w:val="23"/>
          <w:szCs w:val="23"/>
          <w:lang w:eastAsia="en-MY"/>
        </w:rPr>
        <w:t xml:space="preserve">TNB ILSAS </w:t>
      </w:r>
      <w:r w:rsidR="00D80E93" w:rsidRPr="00D80E93">
        <w:rPr>
          <w:rFonts w:ascii="Arial" w:eastAsia="Times New Roman" w:hAnsi="Arial" w:cs="Arial"/>
          <w:color w:val="191919"/>
          <w:sz w:val="23"/>
          <w:szCs w:val="23"/>
          <w:lang w:eastAsia="en-MY"/>
        </w:rPr>
        <w:t xml:space="preserve">expects Personnel at all levels to report concerns they may have on any behaviour they observe in relation to the company’s activities via the channels established for this purpose. External parties encountering misconduct as they work with </w:t>
      </w:r>
      <w:r>
        <w:rPr>
          <w:rFonts w:ascii="Arial" w:eastAsia="Times New Roman" w:hAnsi="Arial" w:cs="Arial"/>
          <w:color w:val="191919"/>
          <w:sz w:val="23"/>
          <w:szCs w:val="23"/>
          <w:lang w:eastAsia="en-MY"/>
        </w:rPr>
        <w:t>TNB ILSAS</w:t>
      </w:r>
      <w:r w:rsidR="00D80E93" w:rsidRPr="00D80E93">
        <w:rPr>
          <w:rFonts w:ascii="Arial" w:eastAsia="Times New Roman" w:hAnsi="Arial" w:cs="Arial"/>
          <w:color w:val="191919"/>
          <w:sz w:val="23"/>
          <w:szCs w:val="23"/>
          <w:lang w:eastAsia="en-MY"/>
        </w:rPr>
        <w:t xml:space="preserve"> Personnel are likewise expected to report their concerns through the designated channels. Protection will be provided to all parties acting in good faith.</w:t>
      </w:r>
    </w:p>
    <w:p w:rsidR="00D80E93" w:rsidRPr="00D80E93" w:rsidRDefault="005C5D0F" w:rsidP="00D80E93">
      <w:pPr>
        <w:shd w:val="clear" w:color="auto" w:fill="FFFFFF"/>
        <w:spacing w:after="150" w:line="240" w:lineRule="auto"/>
        <w:outlineLvl w:val="2"/>
        <w:rPr>
          <w:rFonts w:ascii="Arial" w:eastAsia="Times New Roman" w:hAnsi="Arial" w:cs="Arial"/>
          <w:color w:val="191919"/>
          <w:sz w:val="24"/>
          <w:szCs w:val="38"/>
          <w:lang w:eastAsia="en-MY"/>
        </w:rPr>
      </w:pPr>
      <w:hyperlink r:id="rId9" w:history="1">
        <w:r w:rsidR="00D80E93" w:rsidRPr="005C5D0F">
          <w:rPr>
            <w:rStyle w:val="Hyperlink"/>
            <w:rFonts w:ascii="Arial" w:eastAsia="Times New Roman" w:hAnsi="Arial" w:cs="Arial"/>
            <w:b/>
            <w:bCs/>
            <w:i/>
            <w:iCs/>
            <w:sz w:val="24"/>
            <w:szCs w:val="38"/>
            <w:lang w:eastAsia="en-MY"/>
          </w:rPr>
          <w:t xml:space="preserve">Click here for whistle blowing </w:t>
        </w:r>
        <w:r w:rsidRPr="005C5D0F">
          <w:rPr>
            <w:rStyle w:val="Hyperlink"/>
            <w:rFonts w:ascii="Arial" w:eastAsia="Times New Roman" w:hAnsi="Arial" w:cs="Arial"/>
            <w:b/>
            <w:bCs/>
            <w:i/>
            <w:iCs/>
            <w:sz w:val="24"/>
            <w:szCs w:val="38"/>
            <w:lang w:eastAsia="en-MY"/>
          </w:rPr>
          <w:t>policy</w:t>
        </w:r>
      </w:hyperlink>
    </w:p>
    <w:p w:rsidR="00D80E93" w:rsidRPr="00D80E93" w:rsidRDefault="00CB0D82" w:rsidP="00D80E93">
      <w:pPr>
        <w:shd w:val="clear" w:color="auto" w:fill="FFFFFF"/>
        <w:spacing w:after="150" w:line="240" w:lineRule="auto"/>
        <w:rPr>
          <w:rFonts w:ascii="Arial" w:eastAsia="Times New Roman" w:hAnsi="Arial" w:cs="Arial"/>
          <w:color w:val="191919"/>
          <w:sz w:val="23"/>
          <w:szCs w:val="23"/>
          <w:lang w:eastAsia="en-MY"/>
        </w:rPr>
      </w:pPr>
      <w:r w:rsidRPr="00CB0D82">
        <w:rPr>
          <w:rFonts w:ascii="Arial" w:eastAsia="Times New Roman" w:hAnsi="Arial" w:cs="Arial"/>
          <w:b/>
          <w:bCs/>
          <w:color w:val="191919"/>
          <w:sz w:val="23"/>
          <w:szCs w:val="23"/>
          <w:lang w:eastAsia="en-MY"/>
        </w:rPr>
        <w:t>REPORTING IN GOOD FAITH</w:t>
      </w:r>
    </w:p>
    <w:p w:rsidR="00D80E93" w:rsidRPr="00D80E93" w:rsidRDefault="00D80E93" w:rsidP="00CB0D82">
      <w:pPr>
        <w:shd w:val="clear" w:color="auto" w:fill="FFFFFF"/>
        <w:spacing w:after="150" w:line="240" w:lineRule="auto"/>
        <w:jc w:val="both"/>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xml:space="preserve">Under the </w:t>
      </w:r>
      <w:proofErr w:type="spellStart"/>
      <w:r w:rsidRPr="00D80E93">
        <w:rPr>
          <w:rFonts w:ascii="Arial" w:eastAsia="Times New Roman" w:hAnsi="Arial" w:cs="Arial"/>
          <w:color w:val="191919"/>
          <w:sz w:val="23"/>
          <w:szCs w:val="23"/>
          <w:lang w:eastAsia="en-MY"/>
        </w:rPr>
        <w:t>Whistleblower</w:t>
      </w:r>
      <w:proofErr w:type="spellEnd"/>
      <w:r w:rsidRPr="00D80E93">
        <w:rPr>
          <w:rFonts w:ascii="Arial" w:eastAsia="Times New Roman" w:hAnsi="Arial" w:cs="Arial"/>
          <w:color w:val="191919"/>
          <w:sz w:val="23"/>
          <w:szCs w:val="23"/>
          <w:lang w:eastAsia="en-MY"/>
        </w:rPr>
        <w:t xml:space="preserve"> Policy, 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provides an avenue for all employees and stakeholders of 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to disclose any wrongdoings or irregularities with regard to 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business operations.</w:t>
      </w:r>
    </w:p>
    <w:p w:rsidR="00D80E93" w:rsidRPr="00D80E93" w:rsidRDefault="00D80E93" w:rsidP="00CB0D82">
      <w:pPr>
        <w:shd w:val="clear" w:color="auto" w:fill="FFFFFF"/>
        <w:spacing w:after="150" w:line="240" w:lineRule="auto"/>
        <w:jc w:val="both"/>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expects all parties to act with integrity and have reasonable grounds when making a report. 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will not entertain any reports with malicious intent.</w:t>
      </w:r>
    </w:p>
    <w:p w:rsidR="00CB0D82" w:rsidRDefault="00CB0D82" w:rsidP="00D80E93">
      <w:pPr>
        <w:shd w:val="clear" w:color="auto" w:fill="FFFFFF"/>
        <w:spacing w:after="150" w:line="240" w:lineRule="auto"/>
        <w:rPr>
          <w:rFonts w:ascii="Arial" w:eastAsia="Times New Roman" w:hAnsi="Arial" w:cs="Arial"/>
          <w:b/>
          <w:bCs/>
          <w:color w:val="191919"/>
          <w:sz w:val="23"/>
          <w:szCs w:val="23"/>
          <w:lang w:eastAsia="en-MY"/>
        </w:rPr>
      </w:pPr>
    </w:p>
    <w:p w:rsidR="00D80E93" w:rsidRPr="00D80E93" w:rsidRDefault="00CB0D82"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b/>
          <w:bCs/>
          <w:color w:val="191919"/>
          <w:sz w:val="23"/>
          <w:szCs w:val="23"/>
          <w:lang w:eastAsia="en-MY"/>
        </w:rPr>
        <w:t>PROTECTION FROM RETALIATION AND REPRISAL</w:t>
      </w:r>
    </w:p>
    <w:p w:rsidR="00D80E93" w:rsidRPr="00D80E93" w:rsidRDefault="00D80E93" w:rsidP="00CB0D82">
      <w:pPr>
        <w:shd w:val="clear" w:color="auto" w:fill="FFFFFF"/>
        <w:spacing w:after="150" w:line="240" w:lineRule="auto"/>
        <w:jc w:val="both"/>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provides assurance to the </w:t>
      </w:r>
      <w:proofErr w:type="spellStart"/>
      <w:r w:rsidRPr="00D80E93">
        <w:rPr>
          <w:rFonts w:ascii="Arial" w:eastAsia="Times New Roman" w:hAnsi="Arial" w:cs="Arial"/>
          <w:color w:val="191919"/>
          <w:sz w:val="23"/>
          <w:szCs w:val="23"/>
          <w:lang w:eastAsia="en-MY"/>
        </w:rPr>
        <w:t>whistleblower</w:t>
      </w:r>
      <w:proofErr w:type="spellEnd"/>
      <w:r w:rsidRPr="00D80E93">
        <w:rPr>
          <w:rFonts w:ascii="Arial" w:eastAsia="Times New Roman" w:hAnsi="Arial" w:cs="Arial"/>
          <w:color w:val="191919"/>
          <w:sz w:val="23"/>
          <w:szCs w:val="23"/>
          <w:lang w:eastAsia="en-MY"/>
        </w:rPr>
        <w:t xml:space="preserve"> that he/she would be protected from retaliation or reprisal. All complaints reported to T</w:t>
      </w:r>
      <w:r w:rsidR="00A72209">
        <w:rPr>
          <w:rFonts w:ascii="Arial" w:eastAsia="Times New Roman" w:hAnsi="Arial" w:cs="Arial"/>
          <w:color w:val="191919"/>
          <w:sz w:val="23"/>
          <w:szCs w:val="23"/>
          <w:lang w:eastAsia="en-MY"/>
        </w:rPr>
        <w:t>NB ILSAS</w:t>
      </w:r>
      <w:r w:rsidRPr="00D80E93">
        <w:rPr>
          <w:rFonts w:ascii="Arial" w:eastAsia="Times New Roman" w:hAnsi="Arial" w:cs="Arial"/>
          <w:color w:val="191919"/>
          <w:sz w:val="23"/>
          <w:szCs w:val="23"/>
          <w:lang w:eastAsia="en-MY"/>
        </w:rPr>
        <w:t xml:space="preserve"> are treated in strict confidence. The </w:t>
      </w:r>
      <w:proofErr w:type="spellStart"/>
      <w:r w:rsidRPr="00D80E93">
        <w:rPr>
          <w:rFonts w:ascii="Arial" w:eastAsia="Times New Roman" w:hAnsi="Arial" w:cs="Arial"/>
          <w:color w:val="191919"/>
          <w:sz w:val="23"/>
          <w:szCs w:val="23"/>
          <w:lang w:eastAsia="en-MY"/>
        </w:rPr>
        <w:t>whistleblower’s</w:t>
      </w:r>
      <w:proofErr w:type="spellEnd"/>
      <w:r w:rsidRPr="00D80E93">
        <w:rPr>
          <w:rFonts w:ascii="Arial" w:eastAsia="Times New Roman" w:hAnsi="Arial" w:cs="Arial"/>
          <w:color w:val="191919"/>
          <w:sz w:val="23"/>
          <w:szCs w:val="23"/>
          <w:lang w:eastAsia="en-MY"/>
        </w:rPr>
        <w:t xml:space="preserve"> identity will not be revealed unless it is required by law.</w:t>
      </w:r>
    </w:p>
    <w:p w:rsidR="00CB0D82" w:rsidRDefault="00CB0D82" w:rsidP="00D80E93">
      <w:pPr>
        <w:shd w:val="clear" w:color="auto" w:fill="FFFFFF"/>
        <w:spacing w:after="150" w:line="240" w:lineRule="auto"/>
        <w:rPr>
          <w:rFonts w:ascii="Arial" w:eastAsia="Times New Roman" w:hAnsi="Arial" w:cs="Arial"/>
          <w:color w:val="191919"/>
          <w:sz w:val="23"/>
          <w:szCs w:val="23"/>
          <w:lang w:eastAsia="en-MY"/>
        </w:rPr>
      </w:pPr>
    </w:p>
    <w:p w:rsidR="00D80E93" w:rsidRPr="00D80E93" w:rsidRDefault="00CB0D82"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b/>
          <w:bCs/>
          <w:color w:val="191919"/>
          <w:sz w:val="23"/>
          <w:szCs w:val="23"/>
          <w:lang w:eastAsia="en-MY"/>
        </w:rPr>
        <w:t>REPORTING CHANNEL</w:t>
      </w:r>
    </w:p>
    <w:p w:rsidR="00D80E93" w:rsidRPr="00D80E93" w:rsidRDefault="00D80E93" w:rsidP="00CB0D82">
      <w:pPr>
        <w:shd w:val="clear" w:color="auto" w:fill="FFFFFF"/>
        <w:spacing w:after="150" w:line="240" w:lineRule="auto"/>
        <w:jc w:val="both"/>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xml:space="preserve">The complaint is preferably in writing, submitted by hand, via post or email, to ensure that there is a clear understanding about the issues raised.  The report should be sealed in an envelope if sent via post with “Private and Confidential” </w:t>
      </w:r>
      <w:r w:rsidR="00CB0D82">
        <w:rPr>
          <w:rFonts w:ascii="Arial" w:eastAsia="Times New Roman" w:hAnsi="Arial" w:cs="Arial"/>
          <w:color w:val="191919"/>
          <w:sz w:val="23"/>
          <w:szCs w:val="23"/>
          <w:lang w:eastAsia="en-MY"/>
        </w:rPr>
        <w:t xml:space="preserve">indicated and addressed to </w:t>
      </w:r>
      <w:r w:rsidRPr="00D80E93">
        <w:rPr>
          <w:rFonts w:ascii="Arial" w:eastAsia="Times New Roman" w:hAnsi="Arial" w:cs="Arial"/>
          <w:b/>
          <w:bCs/>
          <w:color w:val="191919"/>
          <w:sz w:val="23"/>
          <w:szCs w:val="23"/>
          <w:lang w:eastAsia="en-MY"/>
        </w:rPr>
        <w:t>Integrity Officer via:</w:t>
      </w:r>
    </w:p>
    <w:p w:rsidR="00D80E93" w:rsidRPr="00D80E93" w:rsidRDefault="00A72209" w:rsidP="00D80E93">
      <w:pPr>
        <w:numPr>
          <w:ilvl w:val="0"/>
          <w:numId w:val="1"/>
        </w:numPr>
        <w:shd w:val="clear" w:color="auto" w:fill="FFFFFF"/>
        <w:spacing w:before="100" w:beforeAutospacing="1" w:after="150" w:line="240" w:lineRule="auto"/>
        <w:rPr>
          <w:rFonts w:ascii="Arial" w:eastAsia="Times New Roman" w:hAnsi="Arial" w:cs="Arial"/>
          <w:color w:val="191919"/>
          <w:sz w:val="23"/>
          <w:szCs w:val="23"/>
          <w:lang w:eastAsia="en-MY"/>
        </w:rPr>
      </w:pPr>
      <w:r>
        <w:rPr>
          <w:rFonts w:ascii="Arial" w:eastAsia="Times New Roman" w:hAnsi="Arial" w:cs="Arial"/>
          <w:color w:val="191919"/>
          <w:sz w:val="23"/>
          <w:szCs w:val="23"/>
          <w:lang w:eastAsia="en-MY"/>
        </w:rPr>
        <w:t>Call 019-2685295</w:t>
      </w:r>
      <w:r w:rsidR="00D80E93" w:rsidRPr="00D80E93">
        <w:rPr>
          <w:rFonts w:ascii="Arial" w:eastAsia="Times New Roman" w:hAnsi="Arial" w:cs="Arial"/>
          <w:color w:val="191919"/>
          <w:sz w:val="23"/>
          <w:szCs w:val="23"/>
          <w:lang w:eastAsia="en-MY"/>
        </w:rPr>
        <w:t xml:space="preserve"> (Integrity Officer) from Monday to Friday during office hours (8.00 am to </w:t>
      </w:r>
      <w:r>
        <w:rPr>
          <w:rFonts w:ascii="Arial" w:eastAsia="Times New Roman" w:hAnsi="Arial" w:cs="Arial"/>
          <w:color w:val="191919"/>
          <w:sz w:val="23"/>
          <w:szCs w:val="23"/>
          <w:lang w:eastAsia="en-MY"/>
        </w:rPr>
        <w:t>5</w:t>
      </w:r>
      <w:r w:rsidR="00D80E93" w:rsidRPr="00D80E93">
        <w:rPr>
          <w:rFonts w:ascii="Arial" w:eastAsia="Times New Roman" w:hAnsi="Arial" w:cs="Arial"/>
          <w:color w:val="191919"/>
          <w:sz w:val="23"/>
          <w:szCs w:val="23"/>
          <w:lang w:eastAsia="en-MY"/>
        </w:rPr>
        <w:t>.</w:t>
      </w:r>
      <w:r>
        <w:rPr>
          <w:rFonts w:ascii="Arial" w:eastAsia="Times New Roman" w:hAnsi="Arial" w:cs="Arial"/>
          <w:color w:val="191919"/>
          <w:sz w:val="23"/>
          <w:szCs w:val="23"/>
          <w:lang w:eastAsia="en-MY"/>
        </w:rPr>
        <w:t>1</w:t>
      </w:r>
      <w:r w:rsidR="00D80E93" w:rsidRPr="00D80E93">
        <w:rPr>
          <w:rFonts w:ascii="Arial" w:eastAsia="Times New Roman" w:hAnsi="Arial" w:cs="Arial"/>
          <w:color w:val="191919"/>
          <w:sz w:val="23"/>
          <w:szCs w:val="23"/>
          <w:lang w:eastAsia="en-MY"/>
        </w:rPr>
        <w:t>5 pm)</w:t>
      </w:r>
    </w:p>
    <w:p w:rsidR="00D80E93" w:rsidRPr="00D80E93" w:rsidRDefault="00D80E93" w:rsidP="00D80E93">
      <w:pPr>
        <w:numPr>
          <w:ilvl w:val="0"/>
          <w:numId w:val="1"/>
        </w:numPr>
        <w:shd w:val="clear" w:color="auto" w:fill="FFFFFF"/>
        <w:spacing w:before="100" w:beforeAutospacing="1"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xml:space="preserve">Email to </w:t>
      </w:r>
      <w:r w:rsidR="008A0234">
        <w:rPr>
          <w:rFonts w:ascii="Arial" w:eastAsia="Times New Roman" w:hAnsi="Arial" w:cs="Arial"/>
          <w:color w:val="191919"/>
          <w:sz w:val="23"/>
          <w:szCs w:val="23"/>
          <w:lang w:eastAsia="en-MY"/>
        </w:rPr>
        <w:t>Nizam.mohamad</w:t>
      </w:r>
      <w:r w:rsidRPr="00D80E93">
        <w:rPr>
          <w:rFonts w:ascii="Arial" w:eastAsia="Times New Roman" w:hAnsi="Arial" w:cs="Arial"/>
          <w:color w:val="191919"/>
          <w:sz w:val="23"/>
          <w:szCs w:val="23"/>
          <w:lang w:eastAsia="en-MY"/>
        </w:rPr>
        <w:t>@t</w:t>
      </w:r>
      <w:r w:rsidR="008A0234">
        <w:rPr>
          <w:rFonts w:ascii="Arial" w:eastAsia="Times New Roman" w:hAnsi="Arial" w:cs="Arial"/>
          <w:color w:val="191919"/>
          <w:sz w:val="23"/>
          <w:szCs w:val="23"/>
          <w:lang w:eastAsia="en-MY"/>
        </w:rPr>
        <w:t>n</w:t>
      </w:r>
      <w:r w:rsidRPr="00D80E93">
        <w:rPr>
          <w:rFonts w:ascii="Arial" w:eastAsia="Times New Roman" w:hAnsi="Arial" w:cs="Arial"/>
          <w:color w:val="191919"/>
          <w:sz w:val="23"/>
          <w:szCs w:val="23"/>
          <w:lang w:eastAsia="en-MY"/>
        </w:rPr>
        <w:t>b.com.my</w:t>
      </w:r>
    </w:p>
    <w:p w:rsidR="00D80E93" w:rsidRPr="00D80E93" w:rsidRDefault="00D80E93" w:rsidP="00D80E93">
      <w:pPr>
        <w:numPr>
          <w:ilvl w:val="0"/>
          <w:numId w:val="1"/>
        </w:numPr>
        <w:shd w:val="clear" w:color="auto" w:fill="FFFFFF"/>
        <w:spacing w:before="100" w:beforeAutospacing="1"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xml:space="preserve">In writing to Integrity officer, </w:t>
      </w:r>
      <w:r w:rsidR="008A0234">
        <w:rPr>
          <w:rFonts w:ascii="Arial" w:eastAsia="Times New Roman" w:hAnsi="Arial" w:cs="Arial"/>
          <w:color w:val="191919"/>
          <w:sz w:val="23"/>
          <w:szCs w:val="23"/>
          <w:lang w:eastAsia="en-MY"/>
        </w:rPr>
        <w:t xml:space="preserve">TNB Integrated Learning Solutions </w:t>
      </w:r>
      <w:proofErr w:type="spellStart"/>
      <w:r w:rsidR="008A0234">
        <w:rPr>
          <w:rFonts w:ascii="Arial" w:eastAsia="Times New Roman" w:hAnsi="Arial" w:cs="Arial"/>
          <w:color w:val="191919"/>
          <w:sz w:val="23"/>
          <w:szCs w:val="23"/>
          <w:lang w:eastAsia="en-MY"/>
        </w:rPr>
        <w:t>Sdn</w:t>
      </w:r>
      <w:proofErr w:type="spellEnd"/>
      <w:r w:rsidR="008A0234">
        <w:rPr>
          <w:rFonts w:ascii="Arial" w:eastAsia="Times New Roman" w:hAnsi="Arial" w:cs="Arial"/>
          <w:color w:val="191919"/>
          <w:sz w:val="23"/>
          <w:szCs w:val="23"/>
          <w:lang w:eastAsia="en-MY"/>
        </w:rPr>
        <w:t xml:space="preserve"> </w:t>
      </w:r>
      <w:proofErr w:type="spellStart"/>
      <w:r w:rsidR="008A0234">
        <w:rPr>
          <w:rFonts w:ascii="Arial" w:eastAsia="Times New Roman" w:hAnsi="Arial" w:cs="Arial"/>
          <w:color w:val="191919"/>
          <w:sz w:val="23"/>
          <w:szCs w:val="23"/>
          <w:lang w:eastAsia="en-MY"/>
        </w:rPr>
        <w:t>Bhd</w:t>
      </w:r>
      <w:proofErr w:type="spellEnd"/>
      <w:r w:rsidR="008A0234">
        <w:rPr>
          <w:rFonts w:ascii="Arial" w:eastAsia="Times New Roman" w:hAnsi="Arial" w:cs="Arial"/>
          <w:color w:val="191919"/>
          <w:sz w:val="23"/>
          <w:szCs w:val="23"/>
          <w:lang w:eastAsia="en-MY"/>
        </w:rPr>
        <w:t xml:space="preserve">, KM7 </w:t>
      </w:r>
      <w:proofErr w:type="spellStart"/>
      <w:r w:rsidR="008A0234">
        <w:rPr>
          <w:rFonts w:ascii="Arial" w:eastAsia="Times New Roman" w:hAnsi="Arial" w:cs="Arial"/>
          <w:color w:val="191919"/>
          <w:sz w:val="23"/>
          <w:szCs w:val="23"/>
          <w:lang w:eastAsia="en-MY"/>
        </w:rPr>
        <w:t>Jalan</w:t>
      </w:r>
      <w:proofErr w:type="spellEnd"/>
      <w:r w:rsidR="008A0234">
        <w:rPr>
          <w:rFonts w:ascii="Arial" w:eastAsia="Times New Roman" w:hAnsi="Arial" w:cs="Arial"/>
          <w:color w:val="191919"/>
          <w:sz w:val="23"/>
          <w:szCs w:val="23"/>
          <w:lang w:eastAsia="en-MY"/>
        </w:rPr>
        <w:t xml:space="preserve"> </w:t>
      </w:r>
      <w:proofErr w:type="spellStart"/>
      <w:r w:rsidR="008A0234">
        <w:rPr>
          <w:rFonts w:ascii="Arial" w:eastAsia="Times New Roman" w:hAnsi="Arial" w:cs="Arial"/>
          <w:color w:val="191919"/>
          <w:sz w:val="23"/>
          <w:szCs w:val="23"/>
          <w:lang w:eastAsia="en-MY"/>
        </w:rPr>
        <w:t>Ikram-Uniten</w:t>
      </w:r>
      <w:proofErr w:type="spellEnd"/>
      <w:r w:rsidR="008A0234">
        <w:rPr>
          <w:rFonts w:ascii="Arial" w:eastAsia="Times New Roman" w:hAnsi="Arial" w:cs="Arial"/>
          <w:color w:val="191919"/>
          <w:sz w:val="23"/>
          <w:szCs w:val="23"/>
          <w:lang w:eastAsia="en-MY"/>
        </w:rPr>
        <w:t>, 4300</w:t>
      </w:r>
      <w:r w:rsidRPr="00D80E93">
        <w:rPr>
          <w:rFonts w:ascii="Arial" w:eastAsia="Times New Roman" w:hAnsi="Arial" w:cs="Arial"/>
          <w:color w:val="191919"/>
          <w:sz w:val="23"/>
          <w:szCs w:val="23"/>
          <w:lang w:eastAsia="en-MY"/>
        </w:rPr>
        <w:t xml:space="preserve"> Bandar </w:t>
      </w:r>
      <w:proofErr w:type="spellStart"/>
      <w:r w:rsidRPr="00D80E93">
        <w:rPr>
          <w:rFonts w:ascii="Arial" w:eastAsia="Times New Roman" w:hAnsi="Arial" w:cs="Arial"/>
          <w:color w:val="191919"/>
          <w:sz w:val="23"/>
          <w:szCs w:val="23"/>
          <w:lang w:eastAsia="en-MY"/>
        </w:rPr>
        <w:t>Baru</w:t>
      </w:r>
      <w:proofErr w:type="spellEnd"/>
      <w:r w:rsidRPr="00D80E93">
        <w:rPr>
          <w:rFonts w:ascii="Arial" w:eastAsia="Times New Roman" w:hAnsi="Arial" w:cs="Arial"/>
          <w:color w:val="191919"/>
          <w:sz w:val="23"/>
          <w:szCs w:val="23"/>
          <w:lang w:eastAsia="en-MY"/>
        </w:rPr>
        <w:t xml:space="preserve"> </w:t>
      </w:r>
      <w:proofErr w:type="spellStart"/>
      <w:r w:rsidRPr="00D80E93">
        <w:rPr>
          <w:rFonts w:ascii="Arial" w:eastAsia="Times New Roman" w:hAnsi="Arial" w:cs="Arial"/>
          <w:color w:val="191919"/>
          <w:sz w:val="23"/>
          <w:szCs w:val="23"/>
          <w:lang w:eastAsia="en-MY"/>
        </w:rPr>
        <w:t>Bangi</w:t>
      </w:r>
      <w:proofErr w:type="spellEnd"/>
      <w:r w:rsidRPr="00D80E93">
        <w:rPr>
          <w:rFonts w:ascii="Arial" w:eastAsia="Times New Roman" w:hAnsi="Arial" w:cs="Arial"/>
          <w:color w:val="191919"/>
          <w:sz w:val="23"/>
          <w:szCs w:val="23"/>
          <w:lang w:eastAsia="en-MY"/>
        </w:rPr>
        <w:t>, Selangor</w:t>
      </w:r>
    </w:p>
    <w:p w:rsidR="00D80E93" w:rsidRPr="00D80E93" w:rsidRDefault="00D80E93" w:rsidP="00D80E93">
      <w:pPr>
        <w:numPr>
          <w:ilvl w:val="0"/>
          <w:numId w:val="1"/>
        </w:numPr>
        <w:shd w:val="clear" w:color="auto" w:fill="FFFFFF"/>
        <w:spacing w:before="100" w:beforeAutospacing="1"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Fill in the whistle blowing form</w:t>
      </w:r>
    </w:p>
    <w:p w:rsidR="00D80E93" w:rsidRPr="00D80E93" w:rsidRDefault="00D80E93"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w:t>
      </w:r>
      <w:proofErr w:type="spellStart"/>
      <w:r w:rsidRPr="00D80E93">
        <w:rPr>
          <w:rFonts w:ascii="Arial" w:eastAsia="Times New Roman" w:hAnsi="Arial" w:cs="Arial"/>
          <w:b/>
          <w:bCs/>
          <w:color w:val="191919"/>
          <w:sz w:val="23"/>
          <w:szCs w:val="23"/>
          <w:lang w:eastAsia="en-MY"/>
        </w:rPr>
        <w:t>Whistleblower</w:t>
      </w:r>
      <w:proofErr w:type="spellEnd"/>
      <w:r w:rsidRPr="00D80E93">
        <w:rPr>
          <w:rFonts w:ascii="Arial" w:eastAsia="Times New Roman" w:hAnsi="Arial" w:cs="Arial"/>
          <w:b/>
          <w:bCs/>
          <w:color w:val="191919"/>
          <w:sz w:val="23"/>
          <w:szCs w:val="23"/>
          <w:lang w:eastAsia="en-MY"/>
        </w:rPr>
        <w:t xml:space="preserve"> Protection Act 2010</w:t>
      </w:r>
    </w:p>
    <w:p w:rsidR="00D80E93" w:rsidRDefault="00D80E93"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xml:space="preserve">In the event that there are discrepancies between this policy and the </w:t>
      </w:r>
      <w:proofErr w:type="spellStart"/>
      <w:r w:rsidRPr="00D80E93">
        <w:rPr>
          <w:rFonts w:ascii="Arial" w:eastAsia="Times New Roman" w:hAnsi="Arial" w:cs="Arial"/>
          <w:color w:val="191919"/>
          <w:sz w:val="23"/>
          <w:szCs w:val="23"/>
          <w:lang w:eastAsia="en-MY"/>
        </w:rPr>
        <w:t>Whistleblower</w:t>
      </w:r>
      <w:proofErr w:type="spellEnd"/>
      <w:r w:rsidRPr="00D80E93">
        <w:rPr>
          <w:rFonts w:ascii="Arial" w:eastAsia="Times New Roman" w:hAnsi="Arial" w:cs="Arial"/>
          <w:color w:val="191919"/>
          <w:sz w:val="23"/>
          <w:szCs w:val="23"/>
          <w:lang w:eastAsia="en-MY"/>
        </w:rPr>
        <w:t xml:space="preserve"> Protection Act 2010, the Act shall prevail.</w:t>
      </w:r>
    </w:p>
    <w:p w:rsidR="008A0234" w:rsidRPr="00D80E93" w:rsidRDefault="008A0234" w:rsidP="00D80E93">
      <w:pPr>
        <w:shd w:val="clear" w:color="auto" w:fill="FFFFFF"/>
        <w:spacing w:after="150" w:line="240" w:lineRule="auto"/>
        <w:rPr>
          <w:rFonts w:ascii="Arial" w:eastAsia="Times New Roman" w:hAnsi="Arial" w:cs="Arial"/>
          <w:color w:val="191919"/>
          <w:sz w:val="23"/>
          <w:szCs w:val="23"/>
          <w:lang w:eastAsia="en-MY"/>
        </w:rPr>
      </w:pPr>
    </w:p>
    <w:p w:rsidR="00D80E93" w:rsidRPr="00D80E93" w:rsidRDefault="00D80E93" w:rsidP="00D80E93">
      <w:pPr>
        <w:shd w:val="clear" w:color="auto" w:fill="FFFFFF"/>
        <w:spacing w:after="150" w:line="240" w:lineRule="auto"/>
        <w:outlineLvl w:val="2"/>
        <w:rPr>
          <w:rFonts w:ascii="Arial" w:eastAsia="Times New Roman" w:hAnsi="Arial" w:cs="Arial"/>
          <w:b/>
          <w:color w:val="191919"/>
          <w:sz w:val="32"/>
          <w:szCs w:val="38"/>
          <w:lang w:eastAsia="en-MY"/>
        </w:rPr>
      </w:pPr>
      <w:r w:rsidRPr="00D80E93">
        <w:rPr>
          <w:rFonts w:ascii="Arial" w:eastAsia="Times New Roman" w:hAnsi="Arial" w:cs="Arial"/>
          <w:b/>
          <w:color w:val="191919"/>
          <w:sz w:val="32"/>
          <w:szCs w:val="38"/>
          <w:lang w:eastAsia="en-MY"/>
        </w:rPr>
        <w:lastRenderedPageBreak/>
        <w:t>GIFTS, HOSPITALITY AND RELATED BENEFITS POLICY</w:t>
      </w:r>
    </w:p>
    <w:p w:rsidR="00D80E93" w:rsidRPr="00D80E93" w:rsidRDefault="00CB0D82"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b/>
          <w:bCs/>
          <w:color w:val="191919"/>
          <w:sz w:val="23"/>
          <w:szCs w:val="23"/>
          <w:lang w:eastAsia="en-MY"/>
        </w:rPr>
        <w:t>OBJECTIVE</w:t>
      </w:r>
    </w:p>
    <w:p w:rsidR="00D80E93" w:rsidRPr="00D80E93" w:rsidRDefault="00D80E93" w:rsidP="00CB0D82">
      <w:pPr>
        <w:spacing w:after="0" w:line="240" w:lineRule="auto"/>
        <w:jc w:val="both"/>
        <w:rPr>
          <w:rFonts w:ascii="Times New Roman" w:eastAsia="Times New Roman" w:hAnsi="Times New Roman" w:cs="Times New Roman"/>
          <w:sz w:val="24"/>
          <w:szCs w:val="24"/>
          <w:lang w:eastAsia="en-MY"/>
        </w:rPr>
      </w:pPr>
      <w:r w:rsidRPr="00D80E93">
        <w:rPr>
          <w:rFonts w:ascii="Arial" w:eastAsia="Times New Roman" w:hAnsi="Arial" w:cs="Arial"/>
          <w:color w:val="191919"/>
          <w:sz w:val="23"/>
          <w:szCs w:val="23"/>
          <w:shd w:val="clear" w:color="auto" w:fill="FFFFFF"/>
          <w:lang w:eastAsia="en-MY"/>
        </w:rPr>
        <w:t>To delineate the difference between a gift and a bribe, and provide guidance on the acceptable behaviour for company Personnel at all levels with respect to gifts, hospitality and related benefits. Expectations of external parties are also stated.</w:t>
      </w:r>
    </w:p>
    <w:p w:rsidR="008A0234" w:rsidRDefault="008A0234" w:rsidP="00D80E93">
      <w:pPr>
        <w:spacing w:after="0" w:line="240" w:lineRule="auto"/>
        <w:rPr>
          <w:rFonts w:ascii="Arial" w:eastAsia="Times New Roman" w:hAnsi="Arial" w:cs="Arial"/>
          <w:b/>
          <w:bCs/>
          <w:color w:val="191919"/>
          <w:sz w:val="23"/>
          <w:szCs w:val="23"/>
          <w:shd w:val="clear" w:color="auto" w:fill="FFFFFF"/>
          <w:lang w:eastAsia="en-MY"/>
        </w:rPr>
      </w:pPr>
    </w:p>
    <w:p w:rsidR="00D80E93" w:rsidRPr="00D80E93" w:rsidRDefault="00CB0D82" w:rsidP="00D80E93">
      <w:pPr>
        <w:spacing w:after="0" w:line="240" w:lineRule="auto"/>
        <w:rPr>
          <w:rFonts w:ascii="Times New Roman" w:eastAsia="Times New Roman" w:hAnsi="Times New Roman" w:cs="Times New Roman"/>
          <w:sz w:val="24"/>
          <w:szCs w:val="24"/>
          <w:lang w:eastAsia="en-MY"/>
        </w:rPr>
      </w:pPr>
      <w:r w:rsidRPr="00D80E93">
        <w:rPr>
          <w:rFonts w:ascii="Arial" w:eastAsia="Times New Roman" w:hAnsi="Arial" w:cs="Arial"/>
          <w:b/>
          <w:bCs/>
          <w:color w:val="191919"/>
          <w:sz w:val="23"/>
          <w:szCs w:val="23"/>
          <w:shd w:val="clear" w:color="auto" w:fill="FFFFFF"/>
          <w:lang w:eastAsia="en-MY"/>
        </w:rPr>
        <w:t>SUMMARY</w:t>
      </w:r>
    </w:p>
    <w:p w:rsidR="00D80E93" w:rsidRPr="00D80E93" w:rsidRDefault="00D80E93" w:rsidP="00CB0D82">
      <w:pPr>
        <w:spacing w:after="0" w:line="240" w:lineRule="auto"/>
        <w:jc w:val="both"/>
        <w:rPr>
          <w:rFonts w:ascii="Times New Roman" w:eastAsia="Times New Roman" w:hAnsi="Times New Roman" w:cs="Times New Roman"/>
          <w:sz w:val="24"/>
          <w:szCs w:val="24"/>
          <w:lang w:eastAsia="en-MY"/>
        </w:rPr>
      </w:pPr>
      <w:r w:rsidRPr="00D80E93">
        <w:rPr>
          <w:rFonts w:ascii="Arial" w:eastAsia="Times New Roman" w:hAnsi="Arial" w:cs="Arial"/>
          <w:color w:val="191919"/>
          <w:sz w:val="23"/>
          <w:szCs w:val="23"/>
          <w:shd w:val="clear" w:color="auto" w:fill="FFFFFF"/>
          <w:lang w:eastAsia="en-MY"/>
        </w:rPr>
        <w:t>T</w:t>
      </w:r>
      <w:r w:rsidR="008A0234">
        <w:rPr>
          <w:rFonts w:ascii="Arial" w:eastAsia="Times New Roman" w:hAnsi="Arial" w:cs="Arial"/>
          <w:color w:val="191919"/>
          <w:sz w:val="23"/>
          <w:szCs w:val="23"/>
          <w:shd w:val="clear" w:color="auto" w:fill="FFFFFF"/>
          <w:lang w:eastAsia="en-MY"/>
        </w:rPr>
        <w:t>NB ILSAS</w:t>
      </w:r>
      <w:r w:rsidRPr="00D80E93">
        <w:rPr>
          <w:rFonts w:ascii="Arial" w:eastAsia="Times New Roman" w:hAnsi="Arial" w:cs="Arial"/>
          <w:color w:val="191919"/>
          <w:sz w:val="23"/>
          <w:szCs w:val="23"/>
          <w:shd w:val="clear" w:color="auto" w:fill="FFFFFF"/>
          <w:lang w:eastAsia="en-MY"/>
        </w:rPr>
        <w:t xml:space="preserve"> holds a ‘No Gifts’ policy. However</w:t>
      </w:r>
      <w:r w:rsidR="008A0234">
        <w:rPr>
          <w:rFonts w:ascii="Arial" w:eastAsia="Times New Roman" w:hAnsi="Arial" w:cs="Arial"/>
          <w:color w:val="191919"/>
          <w:sz w:val="23"/>
          <w:szCs w:val="23"/>
          <w:shd w:val="clear" w:color="auto" w:fill="FFFFFF"/>
          <w:lang w:eastAsia="en-MY"/>
        </w:rPr>
        <w:t>,</w:t>
      </w:r>
      <w:r w:rsidRPr="00D80E93">
        <w:rPr>
          <w:rFonts w:ascii="Arial" w:eastAsia="Times New Roman" w:hAnsi="Arial" w:cs="Arial"/>
          <w:color w:val="191919"/>
          <w:sz w:val="23"/>
          <w:szCs w:val="23"/>
          <w:shd w:val="clear" w:color="auto" w:fill="FFFFFF"/>
          <w:lang w:eastAsia="en-MY"/>
        </w:rPr>
        <w:t xml:space="preserve"> there are some exceptions allowed, provided no Conflict of Interest arises and decision-making behaviour is not influenced. Likewise, normal business hospitality is permitted but must not be so frequent or extravagant that sense of obligation is created on the side of the receiver. Festive hampers are discouraged and are to be refused wherever possible. Discounts for staff by External Providers must be provided transparently as part of a general agreement between the Provider and </w:t>
      </w:r>
      <w:r w:rsidR="008A0234">
        <w:rPr>
          <w:rFonts w:ascii="Arial" w:eastAsia="Times New Roman" w:hAnsi="Arial" w:cs="Arial"/>
          <w:color w:val="191919"/>
          <w:sz w:val="23"/>
          <w:szCs w:val="23"/>
          <w:shd w:val="clear" w:color="auto" w:fill="FFFFFF"/>
          <w:lang w:eastAsia="en-MY"/>
        </w:rPr>
        <w:t>TNB ILSAS</w:t>
      </w:r>
      <w:r w:rsidRPr="00D80E93">
        <w:rPr>
          <w:rFonts w:ascii="Arial" w:eastAsia="Times New Roman" w:hAnsi="Arial" w:cs="Arial"/>
          <w:color w:val="191919"/>
          <w:sz w:val="23"/>
          <w:szCs w:val="23"/>
          <w:shd w:val="clear" w:color="auto" w:fill="FFFFFF"/>
          <w:lang w:eastAsia="en-MY"/>
        </w:rPr>
        <w:t>. Facilitation payments must not be made. Charitable donations and sponsorships must be made transparently and for the general well-being of the company and the communities it serves. Political contributions are prohibited.</w:t>
      </w:r>
    </w:p>
    <w:p w:rsidR="00D80E93" w:rsidRDefault="00D80E93"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w:t>
      </w:r>
    </w:p>
    <w:bookmarkStart w:id="0" w:name="_GoBack"/>
    <w:p w:rsidR="00CB0D82" w:rsidRPr="00D80E93" w:rsidRDefault="001337D6" w:rsidP="00D80E93">
      <w:pPr>
        <w:shd w:val="clear" w:color="auto" w:fill="FFFFFF"/>
        <w:spacing w:after="150" w:line="240" w:lineRule="auto"/>
        <w:rPr>
          <w:rFonts w:ascii="Arial" w:eastAsia="Times New Roman" w:hAnsi="Arial" w:cs="Arial"/>
          <w:b/>
          <w:i/>
          <w:color w:val="191919"/>
          <w:sz w:val="24"/>
          <w:szCs w:val="24"/>
          <w:lang w:eastAsia="en-MY"/>
        </w:rPr>
      </w:pPr>
      <w:r>
        <w:rPr>
          <w:rFonts w:ascii="Arial" w:eastAsia="Times New Roman" w:hAnsi="Arial" w:cs="Arial"/>
          <w:b/>
          <w:i/>
          <w:color w:val="191919"/>
          <w:sz w:val="24"/>
          <w:szCs w:val="24"/>
          <w:lang w:eastAsia="en-MY"/>
        </w:rPr>
        <w:fldChar w:fldCharType="begin"/>
      </w:r>
      <w:r>
        <w:rPr>
          <w:rFonts w:ascii="Arial" w:eastAsia="Times New Roman" w:hAnsi="Arial" w:cs="Arial"/>
          <w:b/>
          <w:i/>
          <w:color w:val="191919"/>
          <w:sz w:val="24"/>
          <w:szCs w:val="24"/>
          <w:lang w:eastAsia="en-MY"/>
        </w:rPr>
        <w:instrText xml:space="preserve"> HYPERLINK "5.%20Clause%208%20-%20Operation/8.7%20Gifts,%20Hosp%20&amp;%20Related%20Benefits%20Policy.pdf" </w:instrText>
      </w:r>
      <w:r>
        <w:rPr>
          <w:rFonts w:ascii="Arial" w:eastAsia="Times New Roman" w:hAnsi="Arial" w:cs="Arial"/>
          <w:b/>
          <w:i/>
          <w:color w:val="191919"/>
          <w:sz w:val="24"/>
          <w:szCs w:val="24"/>
          <w:lang w:eastAsia="en-MY"/>
        </w:rPr>
      </w:r>
      <w:r>
        <w:rPr>
          <w:rFonts w:ascii="Arial" w:eastAsia="Times New Roman" w:hAnsi="Arial" w:cs="Arial"/>
          <w:b/>
          <w:i/>
          <w:color w:val="191919"/>
          <w:sz w:val="24"/>
          <w:szCs w:val="24"/>
          <w:lang w:eastAsia="en-MY"/>
        </w:rPr>
        <w:fldChar w:fldCharType="separate"/>
      </w:r>
      <w:r w:rsidR="00CB0D82" w:rsidRPr="001337D6">
        <w:rPr>
          <w:rStyle w:val="Hyperlink"/>
          <w:rFonts w:ascii="Arial" w:eastAsia="Times New Roman" w:hAnsi="Arial" w:cs="Arial"/>
          <w:b/>
          <w:i/>
          <w:sz w:val="24"/>
          <w:szCs w:val="24"/>
          <w:lang w:eastAsia="en-MY"/>
        </w:rPr>
        <w:t>Click Here For Gift, Hospitality And Related Benefit Policy</w:t>
      </w:r>
      <w:r>
        <w:rPr>
          <w:rFonts w:ascii="Arial" w:eastAsia="Times New Roman" w:hAnsi="Arial" w:cs="Arial"/>
          <w:b/>
          <w:i/>
          <w:color w:val="191919"/>
          <w:sz w:val="24"/>
          <w:szCs w:val="24"/>
          <w:lang w:eastAsia="en-MY"/>
        </w:rPr>
        <w:fldChar w:fldCharType="end"/>
      </w:r>
    </w:p>
    <w:bookmarkEnd w:id="0"/>
    <w:p w:rsidR="00D80E93" w:rsidRPr="00D80E93" w:rsidRDefault="00D80E93" w:rsidP="00D80E93">
      <w:pPr>
        <w:shd w:val="clear" w:color="auto" w:fill="FFFFFF"/>
        <w:spacing w:after="150" w:line="240" w:lineRule="auto"/>
        <w:rPr>
          <w:rFonts w:ascii="Arial" w:eastAsia="Times New Roman" w:hAnsi="Arial" w:cs="Arial"/>
          <w:color w:val="191919"/>
          <w:sz w:val="23"/>
          <w:szCs w:val="23"/>
          <w:lang w:eastAsia="en-MY"/>
        </w:rPr>
      </w:pPr>
      <w:r w:rsidRPr="00D80E93">
        <w:rPr>
          <w:rFonts w:ascii="Arial" w:eastAsia="Times New Roman" w:hAnsi="Arial" w:cs="Arial"/>
          <w:color w:val="191919"/>
          <w:sz w:val="23"/>
          <w:szCs w:val="23"/>
          <w:lang w:eastAsia="en-MY"/>
        </w:rPr>
        <w:t> </w:t>
      </w:r>
    </w:p>
    <w:p w:rsidR="004D74F9" w:rsidRDefault="004D74F9"/>
    <w:sectPr w:rsidR="004D7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F6F95"/>
    <w:multiLevelType w:val="multilevel"/>
    <w:tmpl w:val="F7DE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93"/>
    <w:rsid w:val="001337D6"/>
    <w:rsid w:val="001A7838"/>
    <w:rsid w:val="004D74F9"/>
    <w:rsid w:val="005C5D0F"/>
    <w:rsid w:val="008A0234"/>
    <w:rsid w:val="009913C8"/>
    <w:rsid w:val="00A72209"/>
    <w:rsid w:val="00CB0D82"/>
    <w:rsid w:val="00CF3462"/>
    <w:rsid w:val="00D80E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3962"/>
  <w15:chartTrackingRefBased/>
  <w15:docId w15:val="{E14C0EBD-D34C-4589-B9AA-AE5BB0A9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4.%20Caluse%207%20-%20Support/ILSAS%20Integrity%20Pack%20and%20Commitee%20Integrity%20Pledges%20Form.pdf" TargetMode="External"/><Relationship Id="rId3" Type="http://schemas.openxmlformats.org/officeDocument/2006/relationships/settings" Target="settings.xml"/><Relationship Id="rId7" Type="http://schemas.openxmlformats.org/officeDocument/2006/relationships/hyperlink" Target="4.%20Caluse%207%20-%20Support/Integrity%20Pact%20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4.%20Caluse%207%20-%20Support/ILSAS%20Conflict%20of%20Interest%20Disclosure%20Form.pdf" TargetMode="External"/><Relationship Id="rId11" Type="http://schemas.openxmlformats.org/officeDocument/2006/relationships/theme" Target="theme/theme1.xml"/><Relationship Id="rId5" Type="http://schemas.openxmlformats.org/officeDocument/2006/relationships/hyperlink" Target="2.%20Clause%205%20-%20Leadership/ILSAS%20Policy%20statement%20English%20A%5b105887%5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5.%20Clause%208%20-%20Operation/8.9%20Whistleblowing%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Nizam b. Mohamad</dc:creator>
  <cp:keywords/>
  <dc:description/>
  <cp:lastModifiedBy>Mohd Nizam b. Mohamad</cp:lastModifiedBy>
  <cp:revision>4</cp:revision>
  <dcterms:created xsi:type="dcterms:W3CDTF">2022-07-08T03:50:00Z</dcterms:created>
  <dcterms:modified xsi:type="dcterms:W3CDTF">2022-07-08T07:15:00Z</dcterms:modified>
</cp:coreProperties>
</file>